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5D" w:rsidRDefault="0087145D">
      <w:pPr>
        <w:rPr>
          <w:u w:val="single"/>
        </w:rPr>
      </w:pPr>
      <w:r>
        <w:rPr>
          <w:u w:val="single"/>
        </w:rPr>
        <w:t>BIRMINGHAM CITY UNIVERSITY</w:t>
      </w:r>
    </w:p>
    <w:p w:rsidR="0087145D" w:rsidRDefault="0087145D">
      <w:pPr>
        <w:rPr>
          <w:u w:val="single"/>
        </w:rPr>
      </w:pPr>
    </w:p>
    <w:p w:rsidR="0087145D" w:rsidRDefault="00651BBE">
      <w:r>
        <w:rPr>
          <w:u w:val="single"/>
        </w:rPr>
        <w:t>Student</w:t>
      </w:r>
      <w:r w:rsidR="0087145D">
        <w:rPr>
          <w:u w:val="single"/>
        </w:rPr>
        <w:t xml:space="preserve"> </w:t>
      </w:r>
      <w:r w:rsidR="006A5D4B">
        <w:rPr>
          <w:u w:val="single"/>
        </w:rPr>
        <w:t>drug and substance misuse</w:t>
      </w:r>
      <w:r w:rsidR="002C5491">
        <w:rPr>
          <w:u w:val="single"/>
        </w:rPr>
        <w:t xml:space="preserve"> </w:t>
      </w:r>
      <w:r>
        <w:rPr>
          <w:u w:val="single"/>
        </w:rPr>
        <w:t>policy</w:t>
      </w:r>
    </w:p>
    <w:p w:rsidR="0087145D" w:rsidRDefault="0087145D"/>
    <w:p w:rsidR="00F92D99" w:rsidRPr="00F92D99" w:rsidRDefault="00F92D99">
      <w:pPr>
        <w:rPr>
          <w:u w:val="single"/>
        </w:rPr>
      </w:pPr>
      <w:r>
        <w:t>1.</w:t>
      </w:r>
      <w:r>
        <w:tab/>
      </w:r>
      <w:r w:rsidR="00A24008">
        <w:rPr>
          <w:u w:val="single"/>
        </w:rPr>
        <w:t>Introduction</w:t>
      </w:r>
    </w:p>
    <w:p w:rsidR="00F92D99" w:rsidRDefault="00F92D99"/>
    <w:p w:rsidR="004F540A" w:rsidRDefault="00B34A0D" w:rsidP="000E2066">
      <w:pPr>
        <w:pStyle w:val="ListParagraph"/>
        <w:numPr>
          <w:ilvl w:val="1"/>
          <w:numId w:val="6"/>
        </w:numPr>
      </w:pPr>
      <w:r>
        <w:t xml:space="preserve">We are </w:t>
      </w:r>
      <w:r w:rsidR="0087145D">
        <w:t xml:space="preserve">committed to providing </w:t>
      </w:r>
      <w:r>
        <w:t xml:space="preserve">you with </w:t>
      </w:r>
      <w:r w:rsidR="0087145D">
        <w:t xml:space="preserve">a supportive, safe and healthy environment </w:t>
      </w:r>
      <w:r w:rsidR="00241A23">
        <w:t xml:space="preserve">in which to study.  </w:t>
      </w:r>
      <w:r>
        <w:t>We do</w:t>
      </w:r>
      <w:r w:rsidR="00E90C94">
        <w:t xml:space="preserve"> not </w:t>
      </w:r>
      <w:r>
        <w:t xml:space="preserve">approve of </w:t>
      </w:r>
      <w:r w:rsidR="00E90C94">
        <w:t xml:space="preserve">the use of illegal drugs or the misuse of </w:t>
      </w:r>
      <w:r w:rsidR="002C06F5">
        <w:t xml:space="preserve">alcohol or other </w:t>
      </w:r>
      <w:r w:rsidR="00E90C94">
        <w:t>legal substances</w:t>
      </w:r>
      <w:r w:rsidR="004F540A">
        <w:t xml:space="preserve"> but recognise</w:t>
      </w:r>
      <w:r w:rsidR="003E57D8">
        <w:t xml:space="preserve"> our role in supporting students where they seek help for these problems.</w:t>
      </w:r>
      <w:r w:rsidR="00E90C94">
        <w:t xml:space="preserve"> </w:t>
      </w:r>
    </w:p>
    <w:p w:rsidR="00A24008" w:rsidRDefault="00A24008" w:rsidP="001136FE">
      <w:pPr>
        <w:pStyle w:val="ListParagraph"/>
      </w:pPr>
    </w:p>
    <w:p w:rsidR="00A24008" w:rsidRPr="00A24008" w:rsidRDefault="00A24008" w:rsidP="00A24008">
      <w:pPr>
        <w:pStyle w:val="ListParagraph"/>
        <w:numPr>
          <w:ilvl w:val="0"/>
          <w:numId w:val="6"/>
        </w:numPr>
      </w:pPr>
      <w:r w:rsidRPr="00A24008">
        <w:rPr>
          <w:u w:val="single"/>
        </w:rPr>
        <w:t>Aims of the policy</w:t>
      </w:r>
    </w:p>
    <w:p w:rsidR="00A24008" w:rsidRDefault="00A24008" w:rsidP="00A24008">
      <w:pPr>
        <w:pStyle w:val="ListParagraph"/>
        <w:rPr>
          <w:u w:val="single"/>
        </w:rPr>
      </w:pPr>
    </w:p>
    <w:p w:rsidR="003E57D8" w:rsidRDefault="003E57D8" w:rsidP="00A24008">
      <w:pPr>
        <w:pStyle w:val="ListParagraph"/>
        <w:numPr>
          <w:ilvl w:val="1"/>
          <w:numId w:val="6"/>
        </w:numPr>
      </w:pPr>
      <w:r w:rsidRPr="00F65270">
        <w:t>To make students aware of support and guidance which is available</w:t>
      </w:r>
      <w:r>
        <w:t xml:space="preserve"> </w:t>
      </w:r>
      <w:r w:rsidRPr="00F65270">
        <w:t>for students who may have problems with alcohol and /</w:t>
      </w:r>
      <w:r>
        <w:t xml:space="preserve"> </w:t>
      </w:r>
      <w:r w:rsidRPr="00F65270">
        <w:t>or drug use</w:t>
      </w:r>
      <w:r>
        <w:t>.</w:t>
      </w:r>
    </w:p>
    <w:p w:rsidR="003E57D8" w:rsidRDefault="003E57D8" w:rsidP="003E57D8">
      <w:pPr>
        <w:pStyle w:val="ListParagraph"/>
      </w:pPr>
    </w:p>
    <w:p w:rsidR="00A24008" w:rsidRDefault="00A24008" w:rsidP="00A24008">
      <w:pPr>
        <w:pStyle w:val="ListParagraph"/>
        <w:numPr>
          <w:ilvl w:val="1"/>
          <w:numId w:val="6"/>
        </w:numPr>
      </w:pPr>
      <w:r w:rsidRPr="00A24008">
        <w:t xml:space="preserve">To promote an awareness of the health and legal </w:t>
      </w:r>
      <w:r w:rsidR="004F540A">
        <w:t>ramifications caused by</w:t>
      </w:r>
      <w:r w:rsidRPr="00A24008">
        <w:t xml:space="preserve"> alcohol and</w:t>
      </w:r>
      <w:r>
        <w:t xml:space="preserve"> </w:t>
      </w:r>
      <w:r w:rsidRPr="00A24008">
        <w:t>substance misuse</w:t>
      </w:r>
      <w:r>
        <w:t>;</w:t>
      </w:r>
    </w:p>
    <w:p w:rsidR="00A24008" w:rsidRPr="00A24008" w:rsidRDefault="00A24008" w:rsidP="00A24008">
      <w:pPr>
        <w:pStyle w:val="ListParagraph"/>
      </w:pPr>
    </w:p>
    <w:p w:rsidR="00A24008" w:rsidRDefault="00A24008" w:rsidP="00A24008">
      <w:pPr>
        <w:pStyle w:val="ListParagraph"/>
        <w:numPr>
          <w:ilvl w:val="1"/>
          <w:numId w:val="6"/>
        </w:numPr>
      </w:pPr>
      <w:r w:rsidRPr="00F65270">
        <w:t xml:space="preserve">To explain </w:t>
      </w:r>
      <w:r w:rsidR="00B34A0D">
        <w:t>our</w:t>
      </w:r>
      <w:r w:rsidRPr="00F65270">
        <w:t xml:space="preserve"> approach to issues arising from the misuse of alcohol or the use of illegal substances</w:t>
      </w:r>
      <w:r w:rsidR="003E57D8">
        <w:t>.</w:t>
      </w:r>
    </w:p>
    <w:p w:rsidR="00A24008" w:rsidRPr="00A24008" w:rsidRDefault="00A24008" w:rsidP="003E57D8"/>
    <w:p w:rsidR="00A24008" w:rsidRPr="00A24008" w:rsidRDefault="00A24008" w:rsidP="00A24008">
      <w:pPr>
        <w:pStyle w:val="ListParagraph"/>
      </w:pPr>
    </w:p>
    <w:p w:rsidR="00F50543" w:rsidRPr="00F50543" w:rsidRDefault="00F50543" w:rsidP="00F50543">
      <w:pPr>
        <w:pStyle w:val="ListParagraph"/>
        <w:numPr>
          <w:ilvl w:val="0"/>
          <w:numId w:val="6"/>
        </w:numPr>
        <w:rPr>
          <w:u w:val="single"/>
        </w:rPr>
      </w:pPr>
      <w:r w:rsidRPr="00F50543">
        <w:rPr>
          <w:u w:val="single"/>
        </w:rPr>
        <w:t>Scope of the policy</w:t>
      </w:r>
    </w:p>
    <w:p w:rsidR="00F50543" w:rsidRDefault="00F50543" w:rsidP="00F50543">
      <w:pPr>
        <w:pStyle w:val="ListParagraph"/>
      </w:pPr>
    </w:p>
    <w:p w:rsidR="00F50543" w:rsidRDefault="00F50543" w:rsidP="00F50543">
      <w:pPr>
        <w:pStyle w:val="ListParagraph"/>
        <w:numPr>
          <w:ilvl w:val="1"/>
          <w:numId w:val="6"/>
        </w:numPr>
      </w:pPr>
      <w:r>
        <w:t>This policy applies to all enrolled students of the University</w:t>
      </w:r>
      <w:r w:rsidR="00324E8E">
        <w:t xml:space="preserve"> and all students on franchised provision</w:t>
      </w:r>
      <w:r>
        <w:t>.</w:t>
      </w:r>
    </w:p>
    <w:p w:rsidR="00F50543" w:rsidRDefault="00F50543" w:rsidP="00F50543">
      <w:pPr>
        <w:pStyle w:val="ListParagraph"/>
      </w:pPr>
    </w:p>
    <w:p w:rsidR="00F50543" w:rsidRPr="00F50543" w:rsidRDefault="00F50543" w:rsidP="00F50543">
      <w:pPr>
        <w:pStyle w:val="ListParagraph"/>
        <w:numPr>
          <w:ilvl w:val="0"/>
          <w:numId w:val="6"/>
        </w:numPr>
        <w:rPr>
          <w:u w:val="single"/>
        </w:rPr>
      </w:pPr>
      <w:r w:rsidRPr="00F50543">
        <w:rPr>
          <w:u w:val="single"/>
        </w:rPr>
        <w:t>Definitions</w:t>
      </w:r>
    </w:p>
    <w:p w:rsidR="00241A23" w:rsidRDefault="00241A23"/>
    <w:p w:rsidR="00E90C94" w:rsidRDefault="00E90C94" w:rsidP="00F50543">
      <w:pPr>
        <w:pStyle w:val="ListParagraph"/>
        <w:numPr>
          <w:ilvl w:val="1"/>
          <w:numId w:val="6"/>
        </w:numPr>
      </w:pPr>
      <w:r>
        <w:t xml:space="preserve">“Substance” in this </w:t>
      </w:r>
      <w:r w:rsidR="00F50543">
        <w:t>policy</w:t>
      </w:r>
      <w:r>
        <w:t xml:space="preserve"> includes</w:t>
      </w:r>
      <w:r w:rsidR="00F50543">
        <w:t>:</w:t>
      </w:r>
    </w:p>
    <w:p w:rsidR="00F50543" w:rsidRDefault="00F50543" w:rsidP="00F50543">
      <w:pPr>
        <w:pStyle w:val="ListParagraph"/>
      </w:pPr>
    </w:p>
    <w:p w:rsidR="00E90C94" w:rsidRDefault="00E90C94" w:rsidP="00F92D99">
      <w:pPr>
        <w:pStyle w:val="ListParagraph"/>
        <w:numPr>
          <w:ilvl w:val="0"/>
          <w:numId w:val="1"/>
        </w:numPr>
        <w:ind w:left="1080"/>
      </w:pPr>
      <w:r>
        <w:t xml:space="preserve">illegal </w:t>
      </w:r>
      <w:r w:rsidR="001E0584">
        <w:t xml:space="preserve">or controlled </w:t>
      </w:r>
      <w:r>
        <w:t>drugs</w:t>
      </w:r>
      <w:r w:rsidR="005B3D6A">
        <w:t>;</w:t>
      </w:r>
    </w:p>
    <w:p w:rsidR="00E90C94" w:rsidRDefault="001E0584" w:rsidP="001E0584">
      <w:pPr>
        <w:pStyle w:val="ListParagraph"/>
        <w:numPr>
          <w:ilvl w:val="0"/>
          <w:numId w:val="1"/>
        </w:numPr>
        <w:ind w:left="1080"/>
      </w:pPr>
      <w:r>
        <w:t>prescription drugs;</w:t>
      </w:r>
    </w:p>
    <w:p w:rsidR="002C06F5" w:rsidRDefault="002C06F5" w:rsidP="001E0584">
      <w:pPr>
        <w:pStyle w:val="ListParagraph"/>
        <w:numPr>
          <w:ilvl w:val="0"/>
          <w:numId w:val="1"/>
        </w:numPr>
        <w:ind w:left="1080"/>
      </w:pPr>
      <w:r>
        <w:t>new psychoactive substances (often called ‘legal highs’)</w:t>
      </w:r>
      <w:r w:rsidR="00C94E2B">
        <w:t xml:space="preserve">, which when used inappropriately </w:t>
      </w:r>
      <w:r w:rsidR="00342B38">
        <w:t>or excessively can be dangerous</w:t>
      </w:r>
      <w:r>
        <w:t>;</w:t>
      </w:r>
    </w:p>
    <w:p w:rsidR="006D3B55" w:rsidRDefault="006D3B55" w:rsidP="001E0584">
      <w:pPr>
        <w:pStyle w:val="ListParagraph"/>
        <w:numPr>
          <w:ilvl w:val="0"/>
          <w:numId w:val="1"/>
        </w:numPr>
        <w:ind w:left="1080"/>
      </w:pPr>
      <w:r>
        <w:t>alcohol</w:t>
      </w:r>
      <w:r w:rsidR="00D35216">
        <w:t>;</w:t>
      </w:r>
    </w:p>
    <w:p w:rsidR="00241A23" w:rsidRDefault="001E0584" w:rsidP="00F92D99">
      <w:pPr>
        <w:pStyle w:val="ListParagraph"/>
        <w:numPr>
          <w:ilvl w:val="0"/>
          <w:numId w:val="1"/>
        </w:numPr>
        <w:ind w:left="1080"/>
      </w:pPr>
      <w:proofErr w:type="gramStart"/>
      <w:r>
        <w:t>other</w:t>
      </w:r>
      <w:proofErr w:type="gramEnd"/>
      <w:r>
        <w:t xml:space="preserve"> substances, for example,</w:t>
      </w:r>
      <w:r w:rsidR="00E90C94">
        <w:t xml:space="preserve"> over-the-counter medication, caffeine, </w:t>
      </w:r>
      <w:r w:rsidR="00C94E2B">
        <w:t xml:space="preserve">or </w:t>
      </w:r>
      <w:r w:rsidR="00E90C94">
        <w:t>nicotine</w:t>
      </w:r>
      <w:r w:rsidR="00C94E2B">
        <w:t>.</w:t>
      </w:r>
    </w:p>
    <w:p w:rsidR="00E90C94" w:rsidRDefault="00241A23">
      <w:r>
        <w:t xml:space="preserve"> </w:t>
      </w:r>
    </w:p>
    <w:p w:rsidR="00A901E5" w:rsidRDefault="00B852FF" w:rsidP="00B852F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Support, advice and i</w:t>
      </w:r>
      <w:r w:rsidR="00A901E5">
        <w:rPr>
          <w:u w:val="single"/>
        </w:rPr>
        <w:t>nformation</w:t>
      </w:r>
    </w:p>
    <w:p w:rsidR="00A901E5" w:rsidRDefault="00A901E5" w:rsidP="00A901E5">
      <w:pPr>
        <w:ind w:left="720" w:hanging="720"/>
        <w:rPr>
          <w:u w:val="single"/>
        </w:rPr>
      </w:pPr>
    </w:p>
    <w:p w:rsidR="00A861EB" w:rsidRDefault="00B34A0D" w:rsidP="003E57D8">
      <w:pPr>
        <w:pStyle w:val="ListParagraph"/>
        <w:numPr>
          <w:ilvl w:val="1"/>
          <w:numId w:val="6"/>
        </w:numPr>
      </w:pPr>
      <w:r>
        <w:t>We encourage a</w:t>
      </w:r>
      <w:r w:rsidR="00B852FF">
        <w:t>ny student concerned about their use of alcohol or drugs to seek advice</w:t>
      </w:r>
      <w:r w:rsidR="003E57D8">
        <w:t xml:space="preserve"> from the Counselling and Wellbeing Team, who can</w:t>
      </w:r>
      <w:r w:rsidR="00B852FF">
        <w:t xml:space="preserve"> provide assistance to enable appropriate help or treatment to be accessed.</w:t>
      </w:r>
      <w:r w:rsidR="003E57D8">
        <w:t xml:space="preserve"> Our focus will be on supporting the student by confirming support available within the University and directing the student to appropriate external agencies and support networks. </w:t>
      </w:r>
    </w:p>
    <w:p w:rsidR="00A861EB" w:rsidRDefault="00A861EB" w:rsidP="00A861EB">
      <w:pPr>
        <w:pStyle w:val="ListParagraph"/>
      </w:pPr>
    </w:p>
    <w:p w:rsidR="00A861EB" w:rsidRDefault="00A861EB" w:rsidP="003E57D8">
      <w:pPr>
        <w:pStyle w:val="ListParagraph"/>
        <w:numPr>
          <w:ilvl w:val="1"/>
          <w:numId w:val="6"/>
        </w:numPr>
      </w:pPr>
      <w:r>
        <w:t xml:space="preserve">Student Affairs offers access to a </w:t>
      </w:r>
      <w:r w:rsidRPr="00A861EB">
        <w:t>free one-to-one counselling service staffed by fully qualified counsellors for students experiencing emot</w:t>
      </w:r>
      <w:r>
        <w:t xml:space="preserve">ional difficulties and distress, including in association with </w:t>
      </w:r>
      <w:r w:rsidRPr="00F65270">
        <w:t>the misuse of alcohol or the use of illegal substances</w:t>
      </w:r>
      <w:r>
        <w:t>. The Counselling Team has links to specialist external agencies dealing with these matters and will signpost students as appropriate.</w:t>
      </w:r>
    </w:p>
    <w:p w:rsidR="00A861EB" w:rsidRDefault="00A861EB" w:rsidP="00A861EB">
      <w:pPr>
        <w:pStyle w:val="ListParagraph"/>
      </w:pPr>
    </w:p>
    <w:p w:rsidR="003E57D8" w:rsidRDefault="003E57D8" w:rsidP="003E57D8">
      <w:pPr>
        <w:pStyle w:val="ListParagraph"/>
        <w:numPr>
          <w:ilvl w:val="1"/>
          <w:numId w:val="6"/>
        </w:numPr>
      </w:pPr>
      <w:r>
        <w:lastRenderedPageBreak/>
        <w:t xml:space="preserve">Information </w:t>
      </w:r>
      <w:r w:rsidR="00A861EB">
        <w:t xml:space="preserve">leaflets, details of relevant books (available in the University’s libraries) </w:t>
      </w:r>
      <w:r>
        <w:t>and links to external agencies is available online at</w:t>
      </w:r>
    </w:p>
    <w:p w:rsidR="00A861EB" w:rsidRDefault="00387178" w:rsidP="000E2066">
      <w:pPr>
        <w:pStyle w:val="ListParagraph"/>
      </w:pPr>
      <w:hyperlink r:id="rId12" w:history="1">
        <w:r w:rsidR="003E57D8" w:rsidRPr="00735915">
          <w:rPr>
            <w:rStyle w:val="Hyperlink"/>
          </w:rPr>
          <w:t>https://icity.bcu.ac.uk/student-affairs/health-and-wellbeing</w:t>
        </w:r>
      </w:hyperlink>
      <w:r w:rsidR="003E57D8">
        <w:t xml:space="preserve"> and </w:t>
      </w:r>
      <w:hyperlink r:id="rId13" w:history="1">
        <w:r w:rsidR="003E57D8" w:rsidRPr="00735915">
          <w:rPr>
            <w:rStyle w:val="Hyperlink"/>
          </w:rPr>
          <w:t>https://icity.bcu.ac.uk/Student-Affairs/Health-and-Wellbeing/Mental-Health-and-Wellbeing/Self-help-resources</w:t>
        </w:r>
      </w:hyperlink>
      <w:r w:rsidR="003E57D8">
        <w:t>.</w:t>
      </w:r>
    </w:p>
    <w:p w:rsidR="00A861EB" w:rsidRDefault="00A861EB" w:rsidP="00A861EB">
      <w:pPr>
        <w:pStyle w:val="ListParagraph"/>
      </w:pPr>
    </w:p>
    <w:p w:rsidR="00B852FF" w:rsidRDefault="00A861EB" w:rsidP="00E940A4">
      <w:pPr>
        <w:pStyle w:val="ListParagraph"/>
        <w:numPr>
          <w:ilvl w:val="1"/>
          <w:numId w:val="6"/>
        </w:numPr>
      </w:pPr>
      <w:r>
        <w:t>T</w:t>
      </w:r>
      <w:r w:rsidR="00B34A0D">
        <w:t xml:space="preserve">he BCU Students’ Union </w:t>
      </w:r>
      <w:r>
        <w:t>also offers a confidential advice service</w:t>
      </w:r>
      <w:r w:rsidR="000E2066">
        <w:t xml:space="preserve"> and can offer support</w:t>
      </w:r>
      <w:r>
        <w:t xml:space="preserve">: </w:t>
      </w:r>
      <w:hyperlink r:id="rId14" w:history="1">
        <w:r w:rsidR="006705D9" w:rsidRPr="00FE7948">
          <w:rPr>
            <w:rStyle w:val="Hyperlink"/>
          </w:rPr>
          <w:t>https://www.bcusu.com/advice/</w:t>
        </w:r>
      </w:hyperlink>
      <w:r>
        <w:t>.</w:t>
      </w:r>
      <w:r w:rsidR="005E34BB">
        <w:t xml:space="preserve"> </w:t>
      </w:r>
    </w:p>
    <w:p w:rsidR="003B7DA2" w:rsidRDefault="00F36E6C" w:rsidP="00F36E6C">
      <w:pPr>
        <w:ind w:left="720" w:hanging="720"/>
      </w:pPr>
      <w:r>
        <w:t xml:space="preserve"> </w:t>
      </w:r>
    </w:p>
    <w:p w:rsidR="00F36E6C" w:rsidRPr="00D31B7A" w:rsidRDefault="00855FCA" w:rsidP="00F36E6C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University Procedures</w:t>
      </w:r>
    </w:p>
    <w:p w:rsidR="00F36E6C" w:rsidRDefault="00F36E6C" w:rsidP="00F36E6C">
      <w:pPr>
        <w:ind w:left="720" w:hanging="720"/>
      </w:pPr>
    </w:p>
    <w:p w:rsidR="00F36E6C" w:rsidRDefault="003E57D8" w:rsidP="00855FCA">
      <w:pPr>
        <w:pStyle w:val="ListParagraph"/>
        <w:numPr>
          <w:ilvl w:val="1"/>
          <w:numId w:val="6"/>
        </w:numPr>
      </w:pPr>
      <w:r>
        <w:t xml:space="preserve">Our primary focus in regard to </w:t>
      </w:r>
      <w:r w:rsidRPr="00F65270">
        <w:t>issues arising from the misuse of alcohol or the use of illegal substances</w:t>
      </w:r>
      <w:r w:rsidR="000E2066">
        <w:t xml:space="preserve"> is provid</w:t>
      </w:r>
      <w:r>
        <w:t>ing support to those affected. However, a</w:t>
      </w:r>
      <w:r w:rsidR="00F36E6C">
        <w:t xml:space="preserve">ny behaviour which is a criminal offence can constitute general misconduct under the Student Disciplinary Procedure. </w:t>
      </w:r>
      <w:r w:rsidR="00FB0D55">
        <w:t>A</w:t>
      </w:r>
      <w:r w:rsidR="00F36E6C">
        <w:t xml:space="preserve">nti-social behaviour resulting from alcohol or drug use is also unacceptable and may </w:t>
      </w:r>
      <w:r w:rsidR="00FB0D55">
        <w:t>result in</w:t>
      </w:r>
      <w:r w:rsidR="00F36E6C">
        <w:t xml:space="preserve"> disciplinary action. Disciplinary action can result in exclusion from the University. The Student Disciplinary Procedure is available at </w:t>
      </w:r>
      <w:hyperlink r:id="rId15" w:history="1">
        <w:r w:rsidR="00F36E6C" w:rsidRPr="00735915">
          <w:rPr>
            <w:rStyle w:val="Hyperlink"/>
          </w:rPr>
          <w:t>https://icity.bcu.ac.uk/student-affairs/appeals-and-resolutions/student-disciplinary-procedure</w:t>
        </w:r>
      </w:hyperlink>
      <w:r w:rsidR="00F36E6C">
        <w:t>.</w:t>
      </w:r>
    </w:p>
    <w:p w:rsidR="00F36E6C" w:rsidRDefault="00F36E6C" w:rsidP="00F36E6C">
      <w:pPr>
        <w:ind w:left="720" w:hanging="720"/>
      </w:pPr>
    </w:p>
    <w:p w:rsidR="00855FCA" w:rsidRDefault="00A3173E" w:rsidP="00855FCA">
      <w:pPr>
        <w:pStyle w:val="ListParagraph"/>
        <w:numPr>
          <w:ilvl w:val="1"/>
          <w:numId w:val="6"/>
        </w:numPr>
      </w:pPr>
      <w:r>
        <w:t>If you are</w:t>
      </w:r>
      <w:r w:rsidR="00F36E6C">
        <w:t xml:space="preserve"> on </w:t>
      </w:r>
      <w:r>
        <w:t xml:space="preserve">a </w:t>
      </w:r>
      <w:r w:rsidR="001136FE">
        <w:t>course</w:t>
      </w:r>
      <w:r w:rsidR="00F36E6C">
        <w:t xml:space="preserve"> leading to registration with professional, regulatory and statutory bodies (PRSBs), drug use or excessive alcohol use may</w:t>
      </w:r>
      <w:r w:rsidR="00E60A02">
        <w:t xml:space="preserve"> also result in </w:t>
      </w:r>
      <w:r>
        <w:t>you</w:t>
      </w:r>
      <w:r w:rsidR="00E60A02">
        <w:t xml:space="preserve"> being </w:t>
      </w:r>
      <w:r w:rsidR="00F36E6C">
        <w:t>referred for consideration under the Fitness to Practi</w:t>
      </w:r>
      <w:r w:rsidR="00E60A02">
        <w:t>se Procedure</w:t>
      </w:r>
      <w:r w:rsidR="00F36E6C">
        <w:t xml:space="preserve">. </w:t>
      </w:r>
      <w:r w:rsidR="00E60A02">
        <w:t xml:space="preserve">Action under the Fitness to Practise Procedure </w:t>
      </w:r>
      <w:r w:rsidR="00D31B7A">
        <w:t>can result in withdrawal from your programme of study or exclusion from the University.</w:t>
      </w:r>
      <w:r w:rsidR="00855FCA">
        <w:t xml:space="preserve"> The Fitness to Practise Procedure is available at: </w:t>
      </w:r>
      <w:hyperlink r:id="rId16" w:history="1">
        <w:r w:rsidR="00855FCA" w:rsidRPr="00735915">
          <w:rPr>
            <w:rStyle w:val="Hyperlink"/>
          </w:rPr>
          <w:t>https://icity.bcu.ac.uk/Student-Affairs/Appeals-and-Resolutions/Fitness-to-Practise</w:t>
        </w:r>
      </w:hyperlink>
      <w:r w:rsidR="00855FCA">
        <w:t>.</w:t>
      </w:r>
    </w:p>
    <w:p w:rsidR="00A3173E" w:rsidRDefault="00A3173E" w:rsidP="000E2066">
      <w:pPr>
        <w:pStyle w:val="ListParagraph"/>
      </w:pPr>
    </w:p>
    <w:p w:rsidR="00A3173E" w:rsidRDefault="00A3173E" w:rsidP="00855FCA">
      <w:pPr>
        <w:pStyle w:val="ListParagraph"/>
        <w:numPr>
          <w:ilvl w:val="1"/>
          <w:numId w:val="6"/>
        </w:numPr>
      </w:pPr>
      <w:r>
        <w:t xml:space="preserve">Where serious concerns are raised about your conduct, we may consider whether it is necessary to impose a temporary suspension and/or other measures as a precaution, in line with the Student Suspensions Guidance: </w:t>
      </w:r>
      <w:hyperlink r:id="rId17" w:history="1">
        <w:r w:rsidRPr="00735915">
          <w:rPr>
            <w:rStyle w:val="Hyperlink"/>
          </w:rPr>
          <w:t>https://icity.bcu.ac.uk/Content/Document/Student-Suspension-Guidance-2017-1</w:t>
        </w:r>
      </w:hyperlink>
      <w:r>
        <w:t>.</w:t>
      </w:r>
    </w:p>
    <w:p w:rsidR="00E60A02" w:rsidRDefault="00E60A02" w:rsidP="00E60A02">
      <w:pPr>
        <w:ind w:left="720" w:hanging="720"/>
      </w:pPr>
    </w:p>
    <w:p w:rsidR="00855FCA" w:rsidRDefault="00A3173E" w:rsidP="001136FE">
      <w:pPr>
        <w:pStyle w:val="ListParagraph"/>
        <w:numPr>
          <w:ilvl w:val="1"/>
          <w:numId w:val="6"/>
        </w:numPr>
      </w:pPr>
      <w:r>
        <w:t>We will not consider b</w:t>
      </w:r>
      <w:r w:rsidR="00F36E6C">
        <w:t>eing</w:t>
      </w:r>
      <w:r w:rsidR="00D31B7A">
        <w:t xml:space="preserve"> </w:t>
      </w:r>
      <w:r w:rsidR="00F36E6C">
        <w:t xml:space="preserve">under the influence of alcohol or otherwise intoxicated </w:t>
      </w:r>
      <w:r>
        <w:t>as</w:t>
      </w:r>
      <w:r w:rsidR="00F36E6C">
        <w:t xml:space="preserve"> an excuse for</w:t>
      </w:r>
      <w:r w:rsidR="00D31B7A">
        <w:t xml:space="preserve"> </w:t>
      </w:r>
      <w:r w:rsidR="00F36E6C">
        <w:t xml:space="preserve">offensive, abusive or illegal behaviour, and </w:t>
      </w:r>
      <w:r>
        <w:t xml:space="preserve">we may regard it </w:t>
      </w:r>
      <w:r w:rsidR="00F36E6C">
        <w:t>as an aggravating feature.</w:t>
      </w:r>
    </w:p>
    <w:p w:rsidR="00855FCA" w:rsidRDefault="00855FCA" w:rsidP="00855FCA">
      <w:pPr>
        <w:pStyle w:val="ListParagraph"/>
      </w:pPr>
    </w:p>
    <w:p w:rsidR="00855FCA" w:rsidRDefault="00855FCA" w:rsidP="00A861EB">
      <w:pPr>
        <w:pStyle w:val="ListParagraph"/>
        <w:numPr>
          <w:ilvl w:val="1"/>
          <w:numId w:val="6"/>
        </w:numPr>
      </w:pPr>
      <w:r>
        <w:t xml:space="preserve">Where there are concerns that </w:t>
      </w:r>
      <w:r w:rsidR="00A3173E">
        <w:t>you</w:t>
      </w:r>
      <w:r>
        <w:t xml:space="preserve"> may be too unwell to continue </w:t>
      </w:r>
      <w:r w:rsidR="00A3173E">
        <w:t>you</w:t>
      </w:r>
      <w:r>
        <w:t xml:space="preserve">r studies or </w:t>
      </w:r>
      <w:r w:rsidR="00A3173E">
        <w:t xml:space="preserve">are </w:t>
      </w:r>
      <w:r>
        <w:t xml:space="preserve">struggling to cope with </w:t>
      </w:r>
      <w:r w:rsidR="00A3173E">
        <w:t xml:space="preserve">your </w:t>
      </w:r>
      <w:r>
        <w:t xml:space="preserve">personal circumstances then </w:t>
      </w:r>
      <w:r w:rsidR="00A3173E">
        <w:t>we may use</w:t>
      </w:r>
      <w:r>
        <w:t xml:space="preserve"> the Fitness to Study Procedure to </w:t>
      </w:r>
      <w:r w:rsidR="00A3173E">
        <w:t>address these concerns</w:t>
      </w:r>
      <w:r>
        <w:t xml:space="preserve">. The Fitness to Study Procedure is available at: </w:t>
      </w:r>
      <w:r w:rsidR="00A861EB" w:rsidRPr="00A861EB">
        <w:t>https://icity.bcu.ac.uk/Student-Affairs/Appeals-and-Resolutions/Fitness-to-Study-Procedure</w:t>
      </w:r>
      <w:r>
        <w:t>.</w:t>
      </w:r>
    </w:p>
    <w:p w:rsidR="00855FCA" w:rsidRDefault="00855FCA" w:rsidP="00F36E6C">
      <w:pPr>
        <w:ind w:left="720" w:hanging="720"/>
      </w:pPr>
    </w:p>
    <w:p w:rsidR="00F36E6C" w:rsidRDefault="00A3173E" w:rsidP="00D40C5D">
      <w:pPr>
        <w:pStyle w:val="ListParagraph"/>
        <w:numPr>
          <w:ilvl w:val="1"/>
          <w:numId w:val="6"/>
        </w:numPr>
      </w:pPr>
      <w:r>
        <w:t>If you are living in University accommodation, t</w:t>
      </w:r>
      <w:r w:rsidR="00F36E6C">
        <w:t xml:space="preserve">here are specific </w:t>
      </w:r>
      <w:r w:rsidR="00D31B7A">
        <w:t>Terms and Conditions of the Licence Agreement</w:t>
      </w:r>
      <w:r w:rsidR="00F36E6C">
        <w:t xml:space="preserve"> relating to </w:t>
      </w:r>
      <w:r w:rsidR="00855FCA">
        <w:t>illegal substances</w:t>
      </w:r>
      <w:r w:rsidR="00F36E6C">
        <w:t>:</w:t>
      </w:r>
      <w:r w:rsidR="00855FCA">
        <w:t xml:space="preserve"> </w:t>
      </w:r>
      <w:hyperlink r:id="rId18" w:history="1">
        <w:r w:rsidR="006705D9">
          <w:rPr>
            <w:rStyle w:val="Hyperlink"/>
          </w:rPr>
          <w:t>https://icity.bcu.ac.uk/Estates-and-Facilities/Accommodation-Services/Policies</w:t>
        </w:r>
      </w:hyperlink>
      <w:r w:rsidR="003E57D8">
        <w:t xml:space="preserve">. </w:t>
      </w:r>
    </w:p>
    <w:p w:rsidR="0049702C" w:rsidRDefault="0049702C" w:rsidP="0049702C">
      <w:pPr>
        <w:pStyle w:val="ListParagraph"/>
      </w:pPr>
    </w:p>
    <w:p w:rsidR="0049702C" w:rsidRPr="00646930" w:rsidRDefault="0049702C" w:rsidP="0049702C">
      <w:pPr>
        <w:ind w:left="720"/>
        <w:rPr>
          <w:i/>
        </w:rPr>
      </w:pPr>
      <w:r w:rsidRPr="00646930">
        <w:rPr>
          <w:i/>
        </w:rPr>
        <w:t>Reporting concerns</w:t>
      </w:r>
    </w:p>
    <w:p w:rsidR="0049702C" w:rsidRDefault="0049702C" w:rsidP="0049702C">
      <w:pPr>
        <w:ind w:left="720"/>
      </w:pPr>
    </w:p>
    <w:p w:rsidR="0049702C" w:rsidRDefault="0049702C" w:rsidP="00646930">
      <w:pPr>
        <w:pStyle w:val="ListParagraph"/>
        <w:numPr>
          <w:ilvl w:val="1"/>
          <w:numId w:val="6"/>
        </w:numPr>
      </w:pPr>
      <w:r>
        <w:t>If you believe that someone has difficulty in controlling their use of alcohol or drugs you should encourage them to seek support. Excessive drinkin</w:t>
      </w:r>
      <w:r w:rsidR="00646930">
        <w:t xml:space="preserve">g can be the first outward sign </w:t>
      </w:r>
      <w:r>
        <w:t xml:space="preserve">that </w:t>
      </w:r>
      <w:r w:rsidR="00A3173E">
        <w:t>someone</w:t>
      </w:r>
      <w:r>
        <w:t xml:space="preserve"> is </w:t>
      </w:r>
      <w:r w:rsidR="001136FE">
        <w:t>having problems</w:t>
      </w:r>
      <w:r>
        <w:t xml:space="preserve"> and needs help.</w:t>
      </w:r>
    </w:p>
    <w:p w:rsidR="0049702C" w:rsidRDefault="0049702C" w:rsidP="0049702C">
      <w:pPr>
        <w:ind w:left="720"/>
      </w:pPr>
      <w:r>
        <w:t xml:space="preserve"> </w:t>
      </w:r>
    </w:p>
    <w:p w:rsidR="0049702C" w:rsidRDefault="0049702C" w:rsidP="000E2066">
      <w:pPr>
        <w:pStyle w:val="ListParagraph"/>
        <w:numPr>
          <w:ilvl w:val="1"/>
          <w:numId w:val="6"/>
        </w:numPr>
      </w:pPr>
      <w:r>
        <w:t xml:space="preserve">If you are concerned that a student may be a danger to themselves or others </w:t>
      </w:r>
      <w:r w:rsidR="00FB0D55">
        <w:t>you should</w:t>
      </w:r>
      <w:r>
        <w:t xml:space="preserve"> inform a senior member of staff or discuss your concerns with</w:t>
      </w:r>
      <w:r w:rsidR="001136FE">
        <w:t xml:space="preserve"> </w:t>
      </w:r>
      <w:r>
        <w:t xml:space="preserve">someone from </w:t>
      </w:r>
      <w:r w:rsidR="00A3173E">
        <w:lastRenderedPageBreak/>
        <w:t xml:space="preserve">the </w:t>
      </w:r>
      <w:r w:rsidR="003E57D8">
        <w:t xml:space="preserve">Counselling and </w:t>
      </w:r>
      <w:r w:rsidR="00646930">
        <w:t>Wellbeing</w:t>
      </w:r>
      <w:r w:rsidR="00A3173E">
        <w:t xml:space="preserve"> team</w:t>
      </w:r>
      <w:r w:rsidR="00A861EB">
        <w:t xml:space="preserve">: </w:t>
      </w:r>
      <w:r w:rsidR="00A861EB" w:rsidRPr="00A861EB">
        <w:t>https://icity.bcu.ac.uk/Student-Affairs/Health-and-Wellbeing/Index</w:t>
      </w:r>
      <w:r>
        <w:t>.</w:t>
      </w:r>
    </w:p>
    <w:p w:rsidR="00646930" w:rsidRDefault="00646930" w:rsidP="00646930">
      <w:pPr>
        <w:ind w:left="720"/>
      </w:pPr>
    </w:p>
    <w:p w:rsidR="0049702C" w:rsidRDefault="00FB0D55" w:rsidP="00A861EB">
      <w:pPr>
        <w:pStyle w:val="ListParagraph"/>
        <w:numPr>
          <w:ilvl w:val="1"/>
          <w:numId w:val="6"/>
        </w:numPr>
      </w:pPr>
      <w:r>
        <w:t>If you</w:t>
      </w:r>
      <w:r w:rsidR="0049702C">
        <w:t xml:space="preserve"> become aware of, or suspect, drug u</w:t>
      </w:r>
      <w:r w:rsidR="00646930">
        <w:t>se or supply on campus</w:t>
      </w:r>
      <w:r>
        <w:t xml:space="preserve">, </w:t>
      </w:r>
      <w:r w:rsidR="0049702C">
        <w:t xml:space="preserve">you </w:t>
      </w:r>
      <w:r>
        <w:t xml:space="preserve">should </w:t>
      </w:r>
      <w:r w:rsidR="0049702C">
        <w:t xml:space="preserve">report your concerns to </w:t>
      </w:r>
      <w:r w:rsidR="00646930">
        <w:t>Security Services</w:t>
      </w:r>
      <w:r w:rsidR="00A861EB">
        <w:t xml:space="preserve">: </w:t>
      </w:r>
      <w:r w:rsidR="00A861EB" w:rsidRPr="00A861EB">
        <w:t>https://icity.bcu.ac.uk/Estates-and-Facilities/Security-Services/Index</w:t>
      </w:r>
      <w:r w:rsidR="0049702C">
        <w:t>. If concer</w:t>
      </w:r>
      <w:r w:rsidR="00646930">
        <w:t xml:space="preserve">ns are about activity in any </w:t>
      </w:r>
      <w:r w:rsidR="0049702C">
        <w:t xml:space="preserve">University </w:t>
      </w:r>
      <w:r w:rsidR="00A3173E">
        <w:t xml:space="preserve">accommodation </w:t>
      </w:r>
      <w:r w:rsidR="0049702C">
        <w:t>then you should report these</w:t>
      </w:r>
      <w:r w:rsidR="00A3173E">
        <w:t xml:space="preserve"> concerns</w:t>
      </w:r>
      <w:r w:rsidR="0049702C">
        <w:t xml:space="preserve"> to </w:t>
      </w:r>
      <w:r w:rsidR="00646930">
        <w:t>Security Services and / or Estates and Facilities</w:t>
      </w:r>
      <w:r w:rsidR="00A861EB">
        <w:t xml:space="preserve">: </w:t>
      </w:r>
      <w:r w:rsidR="00A861EB" w:rsidRPr="00A861EB">
        <w:t>https://icity.bcu.ac.uk/Estates-and-Facilities/Security-Services/Contact-Us</w:t>
      </w:r>
      <w:r w:rsidR="00A861EB">
        <w:t>.</w:t>
      </w:r>
    </w:p>
    <w:p w:rsidR="0049702C" w:rsidRDefault="0049702C" w:rsidP="0049702C">
      <w:pPr>
        <w:ind w:left="720"/>
      </w:pPr>
      <w:r>
        <w:t xml:space="preserve"> </w:t>
      </w:r>
    </w:p>
    <w:p w:rsidR="00235111" w:rsidRDefault="00855FCA" w:rsidP="00855FCA">
      <w:pPr>
        <w:pStyle w:val="ListParagraph"/>
        <w:numPr>
          <w:ilvl w:val="0"/>
          <w:numId w:val="6"/>
        </w:numPr>
      </w:pPr>
      <w:r>
        <w:rPr>
          <w:u w:val="single"/>
        </w:rPr>
        <w:t>The University and the law</w:t>
      </w:r>
    </w:p>
    <w:p w:rsidR="00E90C94" w:rsidRDefault="00E90C94"/>
    <w:p w:rsidR="008D7FC8" w:rsidRDefault="00A3173E" w:rsidP="00855FCA">
      <w:pPr>
        <w:pStyle w:val="ListParagraph"/>
        <w:numPr>
          <w:ilvl w:val="1"/>
          <w:numId w:val="6"/>
        </w:numPr>
      </w:pPr>
      <w:r>
        <w:t xml:space="preserve">We </w:t>
      </w:r>
      <w:r w:rsidR="005B3D6A">
        <w:t xml:space="preserve">recognise that </w:t>
      </w:r>
      <w:r w:rsidR="008D7FC8">
        <w:t xml:space="preserve">the following are offences </w:t>
      </w:r>
      <w:r w:rsidR="005B3D6A">
        <w:t>und</w:t>
      </w:r>
      <w:r w:rsidR="008D7FC8">
        <w:t>er the Misuse of Drugs Act 1971:</w:t>
      </w:r>
    </w:p>
    <w:p w:rsidR="008D7FC8" w:rsidRPr="008D7FC8" w:rsidRDefault="008D7FC8" w:rsidP="008D7FC8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</w:t>
      </w:r>
      <w:r w:rsidR="003B7DA2">
        <w:rPr>
          <w:rFonts w:eastAsia="Times New Roman" w:cs="Arial"/>
          <w:lang w:eastAsia="en-GB"/>
        </w:rPr>
        <w:t>ossession of a controlled drug;</w:t>
      </w:r>
      <w:r w:rsidRPr="008D7FC8">
        <w:rPr>
          <w:rFonts w:eastAsia="Times New Roman" w:cs="Arial"/>
          <w:lang w:eastAsia="en-GB"/>
        </w:rPr>
        <w:t xml:space="preserve"> </w:t>
      </w:r>
    </w:p>
    <w:p w:rsidR="008D7FC8" w:rsidRPr="008D7FC8" w:rsidRDefault="008D7FC8" w:rsidP="008D7FC8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</w:t>
      </w:r>
      <w:r w:rsidRPr="008D7FC8">
        <w:rPr>
          <w:rFonts w:eastAsia="Times New Roman" w:cs="Arial"/>
          <w:lang w:eastAsia="en-GB"/>
        </w:rPr>
        <w:t>ossession with intent to supply another person</w:t>
      </w:r>
      <w:r w:rsidR="003B7DA2">
        <w:rPr>
          <w:rFonts w:eastAsia="Times New Roman" w:cs="Arial"/>
          <w:lang w:eastAsia="en-GB"/>
        </w:rPr>
        <w:t>;</w:t>
      </w:r>
      <w:r w:rsidRPr="008D7FC8">
        <w:rPr>
          <w:rFonts w:eastAsia="Times New Roman" w:cs="Arial"/>
          <w:lang w:eastAsia="en-GB"/>
        </w:rPr>
        <w:t xml:space="preserve"> </w:t>
      </w:r>
    </w:p>
    <w:p w:rsidR="008D7FC8" w:rsidRPr="008D7FC8" w:rsidRDefault="008D7FC8" w:rsidP="008D7FC8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</w:t>
      </w:r>
      <w:r w:rsidRPr="008D7FC8">
        <w:rPr>
          <w:rFonts w:eastAsia="Times New Roman" w:cs="Arial"/>
          <w:lang w:eastAsia="en-GB"/>
        </w:rPr>
        <w:t xml:space="preserve">roduction, cultivation or </w:t>
      </w:r>
      <w:r w:rsidR="003B7DA2">
        <w:rPr>
          <w:rFonts w:eastAsia="Times New Roman" w:cs="Arial"/>
          <w:lang w:eastAsia="en-GB"/>
        </w:rPr>
        <w:t>manufacture of controlled drugs;</w:t>
      </w:r>
      <w:r w:rsidRPr="008D7FC8">
        <w:rPr>
          <w:rFonts w:eastAsia="Times New Roman" w:cs="Arial"/>
          <w:lang w:eastAsia="en-GB"/>
        </w:rPr>
        <w:t xml:space="preserve"> </w:t>
      </w:r>
    </w:p>
    <w:p w:rsidR="008D7FC8" w:rsidRPr="008D7FC8" w:rsidRDefault="008D7FC8" w:rsidP="008D7FC8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</w:t>
      </w:r>
      <w:r w:rsidRPr="008D7FC8">
        <w:rPr>
          <w:rFonts w:eastAsia="Times New Roman" w:cs="Arial"/>
          <w:lang w:eastAsia="en-GB"/>
        </w:rPr>
        <w:t>upplying another</w:t>
      </w:r>
      <w:r w:rsidR="003B7DA2">
        <w:rPr>
          <w:rFonts w:eastAsia="Times New Roman" w:cs="Arial"/>
          <w:lang w:eastAsia="en-GB"/>
        </w:rPr>
        <w:t xml:space="preserve"> person with a controlled drug;</w:t>
      </w:r>
    </w:p>
    <w:p w:rsidR="008D7FC8" w:rsidRPr="008D7FC8" w:rsidRDefault="008D7FC8" w:rsidP="008D7FC8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</w:t>
      </w:r>
      <w:r w:rsidRPr="008D7FC8">
        <w:rPr>
          <w:rFonts w:eastAsia="Times New Roman" w:cs="Arial"/>
          <w:lang w:eastAsia="en-GB"/>
        </w:rPr>
        <w:t>ffering to supply anothe</w:t>
      </w:r>
      <w:r w:rsidR="003B7DA2">
        <w:rPr>
          <w:rFonts w:eastAsia="Times New Roman" w:cs="Arial"/>
          <w:lang w:eastAsia="en-GB"/>
        </w:rPr>
        <w:t>r person with a controlled drug;</w:t>
      </w:r>
      <w:r w:rsidRPr="008D7FC8">
        <w:rPr>
          <w:rFonts w:eastAsia="Times New Roman" w:cs="Arial"/>
          <w:lang w:eastAsia="en-GB"/>
        </w:rPr>
        <w:t xml:space="preserve"> </w:t>
      </w:r>
    </w:p>
    <w:p w:rsidR="008D7FC8" w:rsidRPr="008D7FC8" w:rsidRDefault="008D7FC8" w:rsidP="008D7FC8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</w:t>
      </w:r>
      <w:r w:rsidRPr="008D7FC8">
        <w:rPr>
          <w:rFonts w:eastAsia="Times New Roman" w:cs="Arial"/>
          <w:lang w:eastAsia="en-GB"/>
        </w:rPr>
        <w:t>mport</w:t>
      </w:r>
      <w:r w:rsidR="003B7DA2">
        <w:rPr>
          <w:rFonts w:eastAsia="Times New Roman" w:cs="Arial"/>
          <w:lang w:eastAsia="en-GB"/>
        </w:rPr>
        <w:t xml:space="preserve"> or export of controlled drugs;</w:t>
      </w:r>
    </w:p>
    <w:p w:rsidR="007713F0" w:rsidRDefault="008D7FC8" w:rsidP="007713F0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eastAsia="Times New Roman" w:cs="Arial"/>
          <w:lang w:eastAsia="en-GB"/>
        </w:rPr>
      </w:pPr>
      <w:proofErr w:type="gramStart"/>
      <w:r>
        <w:rPr>
          <w:rFonts w:eastAsia="Times New Roman" w:cs="Arial"/>
          <w:lang w:eastAsia="en-GB"/>
        </w:rPr>
        <w:t>a</w:t>
      </w:r>
      <w:r w:rsidRPr="008D7FC8">
        <w:rPr>
          <w:rFonts w:eastAsia="Times New Roman" w:cs="Arial"/>
          <w:lang w:eastAsia="en-GB"/>
        </w:rPr>
        <w:t>llowing</w:t>
      </w:r>
      <w:proofErr w:type="gramEnd"/>
      <w:r w:rsidRPr="008D7FC8">
        <w:rPr>
          <w:rFonts w:eastAsia="Times New Roman" w:cs="Arial"/>
          <w:lang w:eastAsia="en-GB"/>
        </w:rPr>
        <w:t xml:space="preserve"> premises to be used for the consumption of certain controlled drugs or </w:t>
      </w:r>
      <w:r>
        <w:rPr>
          <w:rFonts w:eastAsia="Times New Roman" w:cs="Arial"/>
          <w:lang w:eastAsia="en-GB"/>
        </w:rPr>
        <w:t xml:space="preserve">for the </w:t>
      </w:r>
      <w:r w:rsidRPr="008D7FC8">
        <w:rPr>
          <w:rFonts w:eastAsia="Times New Roman" w:cs="Arial"/>
          <w:lang w:eastAsia="en-GB"/>
        </w:rPr>
        <w:t>supply or pr</w:t>
      </w:r>
      <w:r w:rsidR="003B7DA2">
        <w:rPr>
          <w:rFonts w:eastAsia="Times New Roman" w:cs="Arial"/>
          <w:lang w:eastAsia="en-GB"/>
        </w:rPr>
        <w:t>oduction of any controlled drug.</w:t>
      </w:r>
    </w:p>
    <w:p w:rsidR="007713F0" w:rsidRDefault="00A3173E" w:rsidP="00855FCA">
      <w:pPr>
        <w:pStyle w:val="ListParagraph"/>
        <w:numPr>
          <w:ilvl w:val="1"/>
          <w:numId w:val="6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We</w:t>
      </w:r>
      <w:r w:rsidR="006D3B55" w:rsidRPr="007713F0">
        <w:rPr>
          <w:rFonts w:eastAsia="Times New Roman" w:cs="Arial"/>
          <w:lang w:eastAsia="en-GB"/>
        </w:rPr>
        <w:t xml:space="preserve"> also recognise that the following are offences under the Psychoactive Substances Act 2016:</w:t>
      </w:r>
    </w:p>
    <w:p w:rsidR="007713F0" w:rsidRDefault="007713F0" w:rsidP="005A778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production of a psychoactive substance</w:t>
      </w:r>
    </w:p>
    <w:p w:rsidR="007713F0" w:rsidRDefault="007713F0" w:rsidP="005A778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supplying, or offering to supply, a psychoactive substance</w:t>
      </w:r>
    </w:p>
    <w:p w:rsidR="007713F0" w:rsidRDefault="007713F0" w:rsidP="005A778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possession of a psychoactive substance with intent to supply</w:t>
      </w:r>
    </w:p>
    <w:p w:rsidR="007713F0" w:rsidRPr="005A778B" w:rsidRDefault="007713F0" w:rsidP="005A778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eastAsia="Times New Roman" w:cs="Arial"/>
          <w:lang w:eastAsia="en-GB"/>
        </w:rPr>
      </w:pPr>
      <w:proofErr w:type="gramStart"/>
      <w:r>
        <w:rPr>
          <w:rFonts w:eastAsia="Times New Roman" w:cs="Arial"/>
          <w:lang w:eastAsia="en-GB"/>
        </w:rPr>
        <w:t>importing</w:t>
      </w:r>
      <w:proofErr w:type="gramEnd"/>
      <w:r>
        <w:rPr>
          <w:rFonts w:eastAsia="Times New Roman" w:cs="Arial"/>
          <w:lang w:eastAsia="en-GB"/>
        </w:rPr>
        <w:t xml:space="preserve"> or exporting a psychoactive substance.</w:t>
      </w:r>
      <w:r>
        <w:rPr>
          <w:rFonts w:eastAsia="Times New Roman" w:cs="Arial"/>
          <w:lang w:eastAsia="en-GB"/>
        </w:rPr>
        <w:br/>
      </w:r>
    </w:p>
    <w:p w:rsidR="007713F0" w:rsidRDefault="007713F0" w:rsidP="00855FCA">
      <w:pPr>
        <w:pStyle w:val="ListParagraph"/>
        <w:numPr>
          <w:ilvl w:val="1"/>
          <w:numId w:val="6"/>
        </w:numPr>
      </w:pPr>
      <w:r>
        <w:t xml:space="preserve">The Health and Safety at Work Act 1974 requires </w:t>
      </w:r>
      <w:r w:rsidR="00A3173E">
        <w:t>us</w:t>
      </w:r>
      <w:r>
        <w:t xml:space="preserve"> to do what is reasonable to protect the health and safety of staff, students and visitors. Misuse of legal or illegal substances can have an impact on the health and safety of </w:t>
      </w:r>
      <w:r w:rsidR="001136FE">
        <w:t>the</w:t>
      </w:r>
      <w:r>
        <w:t xml:space="preserve"> individual</w:t>
      </w:r>
      <w:r w:rsidR="001136FE">
        <w:t xml:space="preserve"> concerned</w:t>
      </w:r>
      <w:r>
        <w:t xml:space="preserve"> and also </w:t>
      </w:r>
      <w:r w:rsidR="001136FE">
        <w:t>on</w:t>
      </w:r>
      <w:r>
        <w:t xml:space="preserve"> others, for example students in shared accommodation or staff </w:t>
      </w:r>
      <w:r w:rsidR="001136FE">
        <w:t>they come into contact with.</w:t>
      </w:r>
    </w:p>
    <w:p w:rsidR="007713F0" w:rsidRDefault="007713F0" w:rsidP="00467985">
      <w:pPr>
        <w:ind w:left="720" w:hanging="720"/>
      </w:pPr>
    </w:p>
    <w:p w:rsidR="005B3D6A" w:rsidRDefault="00A3173E" w:rsidP="00855FCA">
      <w:pPr>
        <w:pStyle w:val="ListParagraph"/>
        <w:numPr>
          <w:ilvl w:val="1"/>
          <w:numId w:val="6"/>
        </w:numPr>
      </w:pPr>
      <w:r>
        <w:t>We</w:t>
      </w:r>
      <w:r w:rsidR="003B7DA2">
        <w:t xml:space="preserve"> </w:t>
      </w:r>
      <w:r w:rsidR="00D35216">
        <w:t>may</w:t>
      </w:r>
      <w:r w:rsidR="003B7DA2">
        <w:t xml:space="preserve"> report </w:t>
      </w:r>
      <w:r>
        <w:t xml:space="preserve">criminal </w:t>
      </w:r>
      <w:r w:rsidR="003B7DA2">
        <w:t>offences to the Police or other authorities as appropriate.</w:t>
      </w:r>
    </w:p>
    <w:p w:rsidR="003B7DA2" w:rsidRDefault="003B7DA2" w:rsidP="005B3D6A">
      <w:pPr>
        <w:ind w:left="720" w:hanging="720"/>
      </w:pPr>
    </w:p>
    <w:p w:rsidR="003B7DA2" w:rsidRDefault="00B7768B" w:rsidP="00B7768B">
      <w:pPr>
        <w:pStyle w:val="ListParagraph"/>
        <w:numPr>
          <w:ilvl w:val="0"/>
          <w:numId w:val="6"/>
        </w:numPr>
      </w:pPr>
      <w:r>
        <w:rPr>
          <w:u w:val="single"/>
        </w:rPr>
        <w:t>You and the law</w:t>
      </w:r>
    </w:p>
    <w:p w:rsidR="003B7DA2" w:rsidRDefault="003B7DA2" w:rsidP="005B3D6A">
      <w:pPr>
        <w:ind w:left="720" w:hanging="720"/>
      </w:pPr>
    </w:p>
    <w:p w:rsidR="00B7768B" w:rsidRDefault="00B7768B" w:rsidP="00B7768B">
      <w:pPr>
        <w:pStyle w:val="ListParagraph"/>
        <w:numPr>
          <w:ilvl w:val="1"/>
          <w:numId w:val="6"/>
        </w:numPr>
      </w:pPr>
      <w:r>
        <w:t>The consequences which can result from a police caution or a prosecution for the</w:t>
      </w:r>
    </w:p>
    <w:p w:rsidR="00B7768B" w:rsidRDefault="006705D9" w:rsidP="00324E8E">
      <w:r>
        <w:t xml:space="preserve">  </w:t>
      </w:r>
      <w:r>
        <w:tab/>
      </w:r>
      <w:proofErr w:type="gramStart"/>
      <w:r w:rsidR="00B7768B">
        <w:t>possession</w:t>
      </w:r>
      <w:proofErr w:type="gramEnd"/>
      <w:r w:rsidR="00B7768B">
        <w:t>, supply or trafficking of illegal drugs are not limited to fines and prison</w:t>
      </w:r>
    </w:p>
    <w:p w:rsidR="00B7768B" w:rsidRDefault="00B7768B" w:rsidP="00324E8E">
      <w:pPr>
        <w:ind w:firstLine="720"/>
      </w:pPr>
      <w:bookmarkStart w:id="0" w:name="_GoBack"/>
      <w:bookmarkEnd w:id="0"/>
      <w:proofErr w:type="gramStart"/>
      <w:r>
        <w:t>sentences</w:t>
      </w:r>
      <w:proofErr w:type="gramEnd"/>
      <w:r>
        <w:t>. A criminal record can have a serious impact on employment prospects,</w:t>
      </w:r>
    </w:p>
    <w:p w:rsidR="00B7768B" w:rsidRDefault="00B7768B" w:rsidP="00B7768B">
      <w:pPr>
        <w:ind w:left="720"/>
      </w:pPr>
      <w:proofErr w:type="gramStart"/>
      <w:r>
        <w:t>particularly</w:t>
      </w:r>
      <w:proofErr w:type="gramEnd"/>
      <w:r>
        <w:t xml:space="preserve"> for professions such as law, teaching or medicine. Even your travel plans can be affected as you may be denied a visa to enter certain countries</w:t>
      </w:r>
      <w:r w:rsidR="00A3173E">
        <w:t xml:space="preserve"> </w:t>
      </w:r>
      <w:r>
        <w:t>if you have been cautioned or convicted for a drugs related offence.</w:t>
      </w:r>
    </w:p>
    <w:p w:rsidR="00B7768B" w:rsidRDefault="00B7768B" w:rsidP="00B7768B">
      <w:pPr>
        <w:ind w:left="720" w:hanging="720"/>
      </w:pPr>
    </w:p>
    <w:p w:rsidR="00B7768B" w:rsidRDefault="00B7768B" w:rsidP="00B7768B">
      <w:pPr>
        <w:pStyle w:val="ListParagraph"/>
        <w:numPr>
          <w:ilvl w:val="1"/>
          <w:numId w:val="6"/>
        </w:numPr>
      </w:pPr>
      <w:r>
        <w:t>A criminal record arising from drunken behaviour can also have a serious impact on</w:t>
      </w:r>
    </w:p>
    <w:p w:rsidR="00B7768B" w:rsidRDefault="00B7768B" w:rsidP="00B7768B">
      <w:pPr>
        <w:ind w:left="720"/>
      </w:pPr>
      <w:proofErr w:type="gramStart"/>
      <w:r>
        <w:t>employment</w:t>
      </w:r>
      <w:proofErr w:type="gramEnd"/>
      <w:r>
        <w:t>. Receiving a police caution for drunk or disorderly conduct should not be</w:t>
      </w:r>
    </w:p>
    <w:p w:rsidR="00B7768B" w:rsidRDefault="00B7768B" w:rsidP="00B7768B">
      <w:pPr>
        <w:ind w:left="720"/>
      </w:pPr>
      <w:proofErr w:type="gramStart"/>
      <w:r>
        <w:t>treated</w:t>
      </w:r>
      <w:proofErr w:type="gramEnd"/>
      <w:r>
        <w:t xml:space="preserve"> lightly as this could have an adverse effect on your future career.</w:t>
      </w:r>
    </w:p>
    <w:p w:rsidR="005D6C58" w:rsidRDefault="005D6C58" w:rsidP="00B7768B">
      <w:pPr>
        <w:ind w:left="720"/>
      </w:pPr>
    </w:p>
    <w:p w:rsidR="005D6C58" w:rsidRPr="005D6C58" w:rsidRDefault="005D6C58" w:rsidP="00B7768B">
      <w:pPr>
        <w:ind w:left="720"/>
        <w:rPr>
          <w:i/>
        </w:rPr>
      </w:pPr>
      <w:r w:rsidRPr="005D6C58">
        <w:rPr>
          <w:i/>
        </w:rPr>
        <w:t>Declaring char</w:t>
      </w:r>
      <w:r>
        <w:rPr>
          <w:i/>
        </w:rPr>
        <w:t>g</w:t>
      </w:r>
      <w:r w:rsidRPr="005D6C58">
        <w:rPr>
          <w:i/>
        </w:rPr>
        <w:t>es and convictions</w:t>
      </w:r>
    </w:p>
    <w:p w:rsidR="00B7768B" w:rsidRDefault="00B7768B" w:rsidP="00B7768B">
      <w:pPr>
        <w:ind w:left="720" w:hanging="720"/>
      </w:pPr>
      <w:r>
        <w:t xml:space="preserve"> </w:t>
      </w:r>
    </w:p>
    <w:p w:rsidR="00D35216" w:rsidRPr="003B7DA2" w:rsidRDefault="008A6E7A" w:rsidP="00A861EB">
      <w:pPr>
        <w:pStyle w:val="ListParagraph"/>
        <w:numPr>
          <w:ilvl w:val="1"/>
          <w:numId w:val="6"/>
        </w:numPr>
      </w:pPr>
      <w:r>
        <w:t>As set out above, w</w:t>
      </w:r>
      <w:r w:rsidR="0009521F">
        <w:t>e have</w:t>
      </w:r>
      <w:r w:rsidR="00B7768B">
        <w:t xml:space="preserve"> a duty of care to </w:t>
      </w:r>
      <w:r w:rsidR="0009521F">
        <w:t>our</w:t>
      </w:r>
      <w:r w:rsidR="00B7768B">
        <w:t xml:space="preserve"> staff</w:t>
      </w:r>
      <w:r>
        <w:t xml:space="preserve">, </w:t>
      </w:r>
      <w:r w:rsidR="00B7768B">
        <w:t xml:space="preserve">students </w:t>
      </w:r>
      <w:r>
        <w:t xml:space="preserve">and visitors </w:t>
      </w:r>
      <w:r w:rsidR="00B7768B">
        <w:t xml:space="preserve">and </w:t>
      </w:r>
      <w:r w:rsidR="0009521F">
        <w:t>so</w:t>
      </w:r>
      <w:r w:rsidR="00B7768B">
        <w:t xml:space="preserve"> need to be informed of any alleged criminal activity by </w:t>
      </w:r>
      <w:r w:rsidR="0009521F">
        <w:t xml:space="preserve">our </w:t>
      </w:r>
      <w:r w:rsidR="00B7768B">
        <w:t xml:space="preserve">students. If at any time during your registration on a </w:t>
      </w:r>
      <w:r>
        <w:t>course</w:t>
      </w:r>
      <w:r w:rsidR="00B7768B">
        <w:t xml:space="preserve"> at the University you are arrested by the police </w:t>
      </w:r>
      <w:r w:rsidR="00B7768B">
        <w:lastRenderedPageBreak/>
        <w:t xml:space="preserve">and charged with a criminal offence, you </w:t>
      </w:r>
      <w:r w:rsidR="0009521F">
        <w:t>should</w:t>
      </w:r>
      <w:r w:rsidR="00B7768B">
        <w:t xml:space="preserve"> report this immediately to the </w:t>
      </w:r>
      <w:r w:rsidR="0009521F">
        <w:t>Deputy Director of Student Affairs (Queries and Resolutions)</w:t>
      </w:r>
      <w:r w:rsidR="00A861EB">
        <w:t xml:space="preserve">: </w:t>
      </w:r>
      <w:r w:rsidR="00A861EB" w:rsidRPr="00A861EB">
        <w:t>https://icity.bcu.ac.uk/Student-Affairs/Appeals-and-Resolutions</w:t>
      </w:r>
      <w:r w:rsidR="00A861EB">
        <w:t>.</w:t>
      </w:r>
    </w:p>
    <w:p w:rsidR="005B3D6A" w:rsidRDefault="005B3D6A" w:rsidP="00F92D99"/>
    <w:p w:rsidR="00613018" w:rsidRDefault="00A3173E">
      <w:r>
        <w:t xml:space="preserve">July </w:t>
      </w:r>
      <w:r w:rsidR="006D5EA6">
        <w:t>2018</w:t>
      </w:r>
    </w:p>
    <w:p w:rsidR="00C6531F" w:rsidRDefault="00C6531F" w:rsidP="00D40C5D">
      <w:pPr>
        <w:spacing w:after="200" w:line="276" w:lineRule="auto"/>
      </w:pPr>
    </w:p>
    <w:sectPr w:rsidR="00C6531F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78" w:rsidRDefault="00387178" w:rsidP="006A5D4B">
      <w:r>
        <w:separator/>
      </w:r>
    </w:p>
  </w:endnote>
  <w:endnote w:type="continuationSeparator" w:id="0">
    <w:p w:rsidR="00387178" w:rsidRDefault="00387178" w:rsidP="006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78" w:rsidRDefault="00387178" w:rsidP="006A5D4B">
      <w:r>
        <w:separator/>
      </w:r>
    </w:p>
  </w:footnote>
  <w:footnote w:type="continuationSeparator" w:id="0">
    <w:p w:rsidR="00387178" w:rsidRDefault="00387178" w:rsidP="006A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10" w:rsidRPr="006A5D4B" w:rsidRDefault="00911010" w:rsidP="006A5D4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A79"/>
    <w:multiLevelType w:val="hybridMultilevel"/>
    <w:tmpl w:val="5300A59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F2C"/>
    <w:multiLevelType w:val="hybridMultilevel"/>
    <w:tmpl w:val="39B0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3D3"/>
    <w:multiLevelType w:val="hybridMultilevel"/>
    <w:tmpl w:val="009CC556"/>
    <w:lvl w:ilvl="0" w:tplc="0809000F">
      <w:start w:val="3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160C0ADE"/>
    <w:multiLevelType w:val="hybridMultilevel"/>
    <w:tmpl w:val="2628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859"/>
    <w:multiLevelType w:val="multilevel"/>
    <w:tmpl w:val="9C526F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16900"/>
    <w:multiLevelType w:val="hybridMultilevel"/>
    <w:tmpl w:val="C942613C"/>
    <w:lvl w:ilvl="0" w:tplc="69763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234AF"/>
    <w:multiLevelType w:val="hybridMultilevel"/>
    <w:tmpl w:val="C8E0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8F0"/>
    <w:multiLevelType w:val="multilevel"/>
    <w:tmpl w:val="3B2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34BBA"/>
    <w:multiLevelType w:val="hybridMultilevel"/>
    <w:tmpl w:val="CB1E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657BF"/>
    <w:multiLevelType w:val="multilevel"/>
    <w:tmpl w:val="F60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93378"/>
    <w:multiLevelType w:val="multilevel"/>
    <w:tmpl w:val="F60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1"/>
    <w:rsid w:val="00004AED"/>
    <w:rsid w:val="0001638F"/>
    <w:rsid w:val="00017891"/>
    <w:rsid w:val="0002570D"/>
    <w:rsid w:val="0009521F"/>
    <w:rsid w:val="000B1FD3"/>
    <w:rsid w:val="000E2066"/>
    <w:rsid w:val="001136FE"/>
    <w:rsid w:val="0012269F"/>
    <w:rsid w:val="001A4BAC"/>
    <w:rsid w:val="001D241C"/>
    <w:rsid w:val="001E0584"/>
    <w:rsid w:val="00217AAA"/>
    <w:rsid w:val="00227E63"/>
    <w:rsid w:val="00235111"/>
    <w:rsid w:val="00241A23"/>
    <w:rsid w:val="002C06F5"/>
    <w:rsid w:val="002C5491"/>
    <w:rsid w:val="002D0D08"/>
    <w:rsid w:val="002D41F3"/>
    <w:rsid w:val="00321CDA"/>
    <w:rsid w:val="00324E8E"/>
    <w:rsid w:val="00342B38"/>
    <w:rsid w:val="00387178"/>
    <w:rsid w:val="003A2ADE"/>
    <w:rsid w:val="003B7DA2"/>
    <w:rsid w:val="003E57D8"/>
    <w:rsid w:val="00443F21"/>
    <w:rsid w:val="0045186A"/>
    <w:rsid w:val="00467985"/>
    <w:rsid w:val="0049702C"/>
    <w:rsid w:val="004A6E0A"/>
    <w:rsid w:val="004C017E"/>
    <w:rsid w:val="004F540A"/>
    <w:rsid w:val="004F704B"/>
    <w:rsid w:val="00500965"/>
    <w:rsid w:val="00543A62"/>
    <w:rsid w:val="005A778B"/>
    <w:rsid w:val="005B3D6A"/>
    <w:rsid w:val="005D6C58"/>
    <w:rsid w:val="005E2C18"/>
    <w:rsid w:val="005E34BB"/>
    <w:rsid w:val="00613018"/>
    <w:rsid w:val="00646930"/>
    <w:rsid w:val="00651BBE"/>
    <w:rsid w:val="006705D9"/>
    <w:rsid w:val="006A5D4B"/>
    <w:rsid w:val="006D3B55"/>
    <w:rsid w:val="006D5EA6"/>
    <w:rsid w:val="00700CAD"/>
    <w:rsid w:val="00745727"/>
    <w:rsid w:val="00761687"/>
    <w:rsid w:val="007713F0"/>
    <w:rsid w:val="007927DA"/>
    <w:rsid w:val="007A4E45"/>
    <w:rsid w:val="00855D11"/>
    <w:rsid w:val="00855FCA"/>
    <w:rsid w:val="0087145D"/>
    <w:rsid w:val="008752B3"/>
    <w:rsid w:val="0088613C"/>
    <w:rsid w:val="0089440F"/>
    <w:rsid w:val="008A6E7A"/>
    <w:rsid w:val="008D7FC8"/>
    <w:rsid w:val="00911010"/>
    <w:rsid w:val="009876E7"/>
    <w:rsid w:val="00A24008"/>
    <w:rsid w:val="00A3173E"/>
    <w:rsid w:val="00A3180E"/>
    <w:rsid w:val="00A57A8F"/>
    <w:rsid w:val="00A851DA"/>
    <w:rsid w:val="00A861EB"/>
    <w:rsid w:val="00A901E5"/>
    <w:rsid w:val="00AB48C4"/>
    <w:rsid w:val="00B34A0D"/>
    <w:rsid w:val="00B46C1E"/>
    <w:rsid w:val="00B70ED4"/>
    <w:rsid w:val="00B76A72"/>
    <w:rsid w:val="00B7768B"/>
    <w:rsid w:val="00B852FF"/>
    <w:rsid w:val="00B90B7D"/>
    <w:rsid w:val="00BA2347"/>
    <w:rsid w:val="00BD1106"/>
    <w:rsid w:val="00BF4F1C"/>
    <w:rsid w:val="00C06F6E"/>
    <w:rsid w:val="00C52DBB"/>
    <w:rsid w:val="00C60DB7"/>
    <w:rsid w:val="00C6531F"/>
    <w:rsid w:val="00C94E2B"/>
    <w:rsid w:val="00D00176"/>
    <w:rsid w:val="00D31B7A"/>
    <w:rsid w:val="00D35216"/>
    <w:rsid w:val="00D36C0D"/>
    <w:rsid w:val="00D40C5D"/>
    <w:rsid w:val="00D66FEB"/>
    <w:rsid w:val="00D676D5"/>
    <w:rsid w:val="00E25F9F"/>
    <w:rsid w:val="00E329CB"/>
    <w:rsid w:val="00E542D0"/>
    <w:rsid w:val="00E60A02"/>
    <w:rsid w:val="00E90C94"/>
    <w:rsid w:val="00F05640"/>
    <w:rsid w:val="00F36E6C"/>
    <w:rsid w:val="00F41636"/>
    <w:rsid w:val="00F50543"/>
    <w:rsid w:val="00F87EC4"/>
    <w:rsid w:val="00F92D99"/>
    <w:rsid w:val="00F96D14"/>
    <w:rsid w:val="00FB0D5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D512"/>
  <w15:docId w15:val="{10EDFB3A-DD8F-449E-8F45-6D73C50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4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1DA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1D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DA"/>
    <w:pPr>
      <w:numPr>
        <w:ilvl w:val="1"/>
      </w:numPr>
      <w:spacing w:before="120" w:after="120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51DA"/>
    <w:rPr>
      <w:rFonts w:ascii="Arial" w:eastAsiaTheme="majorEastAsia" w:hAnsi="Arial" w:cstheme="majorBidi"/>
      <w:b/>
      <w:i/>
      <w:iCs/>
      <w:spacing w:val="15"/>
      <w:sz w:val="20"/>
      <w:szCs w:val="24"/>
    </w:rPr>
  </w:style>
  <w:style w:type="paragraph" w:customStyle="1" w:styleId="Default">
    <w:name w:val="Default"/>
    <w:rsid w:val="00D6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C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7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D0D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D0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08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6A5D4B"/>
    <w:pPr>
      <w:spacing w:after="0" w:line="240" w:lineRule="auto"/>
    </w:pPr>
  </w:style>
  <w:style w:type="table" w:styleId="TableGrid">
    <w:name w:val="Table Grid"/>
    <w:basedOn w:val="TableNormal"/>
    <w:uiPriority w:val="39"/>
    <w:rsid w:val="006A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A5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4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96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ity.bcu.ac.uk/Student-Affairs/Health-and-Wellbeing/Mental-Health-and-Wellbeing/Self-help-resources" TargetMode="External"/><Relationship Id="rId18" Type="http://schemas.openxmlformats.org/officeDocument/2006/relationships/hyperlink" Target="https://icity.bcu.ac.uk/Estates-and-Facilities/Accommodation-Services/Polici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city.bcu.ac.uk/student-affairs/health-and-wellbeing" TargetMode="External"/><Relationship Id="rId17" Type="http://schemas.openxmlformats.org/officeDocument/2006/relationships/hyperlink" Target="https://icity.bcu.ac.uk/Content/Document/Student-Suspension-Guidance-2017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ity.bcu.ac.uk/Student-Affairs/Appeals-and-Resolutions/Fitness-to-Practi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city.bcu.ac.uk/student-affairs/appeals-and-resolutions/student-disciplinary-procedur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cusu.com/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604847157E547A638BDD834AEC2B7" ma:contentTypeVersion="1" ma:contentTypeDescription="Create a new document." ma:contentTypeScope="" ma:versionID="9df39e0eb3cf2430836f40906be63c35">
  <xsd:schema xmlns:xsd="http://www.w3.org/2001/XMLSchema" xmlns:xs="http://www.w3.org/2001/XMLSchema" xmlns:p="http://schemas.microsoft.com/office/2006/metadata/properties" xmlns:ns2="19092722-6188-41ca-bf6f-fb893d0eaaae" xmlns:ns3="http://schemas.microsoft.com/sharepoint/v4" targetNamespace="http://schemas.microsoft.com/office/2006/metadata/properties" ma:root="true" ma:fieldsID="417cf4dbbf86ccace7b848f5069b1276" ns2:_="" ns3:_="">
    <xsd:import namespace="19092722-6188-41ca-bf6f-fb893d0eaa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2722-6188-41ca-bf6f-fb893d0ea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19092722-6188-41ca-bf6f-fb893d0eaaae">AS0001-8-4125</_dlc_DocId>
    <_dlc_DocIdUrl xmlns="19092722-6188-41ca-bf6f-fb893d0eaaae">
      <Url>https://hub.bcu.ac.uk/sites/as/_layouts/DocIdRedir.aspx?ID=AS0001-8-4125</Url>
      <Description>AS0001-8-4125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9D68-584F-4635-883E-13AB21B31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922DB-7C3D-4156-9653-0059527E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92722-6188-41ca-bf6f-fb893d0eaa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39A5B-A740-4ADB-8C53-D5B93F619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79151-644B-488B-A8C5-8B4BBB0FB1AE}">
  <ds:schemaRefs>
    <ds:schemaRef ds:uri="http://schemas.microsoft.com/office/2006/metadata/properties"/>
    <ds:schemaRef ds:uri="http://schemas.microsoft.com/sharepoint/v4"/>
    <ds:schemaRef ds:uri="19092722-6188-41ca-bf6f-fb893d0eaaae"/>
  </ds:schemaRefs>
</ds:datastoreItem>
</file>

<file path=customXml/itemProps5.xml><?xml version="1.0" encoding="utf-8"?>
<ds:datastoreItem xmlns:ds="http://schemas.openxmlformats.org/officeDocument/2006/customXml" ds:itemID="{A20693FC-CF49-4B11-80F7-6040025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Richard Booth</cp:lastModifiedBy>
  <cp:revision>2</cp:revision>
  <cp:lastPrinted>2018-08-08T10:39:00Z</cp:lastPrinted>
  <dcterms:created xsi:type="dcterms:W3CDTF">2018-11-21T13:59:00Z</dcterms:created>
  <dcterms:modified xsi:type="dcterms:W3CDTF">2018-11-21T13:59:00Z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0x010100F85604847157E547A638BDD834AEC2B7</vt:lpwstr>
  </property>
  <property fmtid="{D5CDD505-2E9C-101B-9397-08002B2CF9AE}" pid="3" name="Order">
    <vt:r8>529100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17abb670-2598-435d-94b9-2860fdeb1c13</vt:lpwstr>
  </property>
</Properties>
</file>